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方正小标宋简体" w:eastAsia="方正小标宋简体"/>
          <w:sz w:val="44"/>
          <w:szCs w:val="44"/>
        </w:rPr>
      </w:pPr>
      <w:r>
        <w:rPr>
          <w:rFonts w:hint="eastAsia" w:ascii="方正小标宋简体" w:eastAsia="方正小标宋简体"/>
          <w:sz w:val="44"/>
          <w:szCs w:val="44"/>
        </w:rPr>
        <w:t>广州港集团有限公司普法责任清单</w:t>
      </w:r>
      <w:bookmarkStart w:id="0" w:name="_GoBack"/>
      <w:bookmarkEnd w:id="0"/>
    </w:p>
    <w:tbl>
      <w:tblPr>
        <w:tblStyle w:val="8"/>
        <w:tblW w:w="147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02"/>
        <w:gridCol w:w="3436"/>
        <w:gridCol w:w="4108"/>
        <w:gridCol w:w="2992"/>
        <w:gridCol w:w="1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黑体" w:hAnsi="黑体" w:eastAsia="黑体" w:cs="宋体"/>
                <w:color w:val="111111"/>
                <w:kern w:val="0"/>
                <w:sz w:val="30"/>
                <w:szCs w:val="30"/>
              </w:rPr>
            </w:pPr>
            <w:r>
              <w:rPr>
                <w:rFonts w:hint="eastAsia" w:ascii="黑体" w:hAnsi="黑体" w:eastAsia="黑体" w:cs="宋体"/>
                <w:color w:val="111111"/>
                <w:spacing w:val="-20"/>
                <w:kern w:val="0"/>
                <w:sz w:val="28"/>
                <w:szCs w:val="28"/>
              </w:rPr>
              <w:t>序号</w:t>
            </w:r>
          </w:p>
        </w:tc>
        <w:tc>
          <w:tcPr>
            <w:tcW w:w="18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黑体" w:hAnsi="黑体" w:eastAsia="黑体" w:cs="宋体"/>
                <w:color w:val="111111"/>
                <w:kern w:val="0"/>
                <w:sz w:val="32"/>
                <w:szCs w:val="32"/>
              </w:rPr>
            </w:pPr>
            <w:r>
              <w:rPr>
                <w:rFonts w:hint="eastAsia" w:ascii="黑体" w:hAnsi="黑体" w:eastAsia="黑体" w:cs="宋体"/>
                <w:color w:val="111111"/>
                <w:kern w:val="0"/>
                <w:sz w:val="32"/>
                <w:szCs w:val="32"/>
              </w:rPr>
              <w:t>普法对象</w:t>
            </w:r>
          </w:p>
        </w:tc>
        <w:tc>
          <w:tcPr>
            <w:tcW w:w="34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黑体" w:hAnsi="黑体" w:eastAsia="黑体" w:cs="宋体"/>
                <w:color w:val="111111"/>
                <w:kern w:val="0"/>
                <w:sz w:val="32"/>
                <w:szCs w:val="32"/>
              </w:rPr>
            </w:pPr>
            <w:r>
              <w:rPr>
                <w:rFonts w:hint="eastAsia" w:ascii="黑体" w:hAnsi="黑体" w:eastAsia="黑体" w:cs="宋体"/>
                <w:color w:val="111111"/>
                <w:kern w:val="0"/>
                <w:sz w:val="32"/>
                <w:szCs w:val="32"/>
              </w:rPr>
              <w:t>重点普法内容</w:t>
            </w:r>
          </w:p>
        </w:tc>
        <w:tc>
          <w:tcPr>
            <w:tcW w:w="410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黑体" w:hAnsi="黑体" w:eastAsia="黑体" w:cs="宋体"/>
                <w:color w:val="111111"/>
                <w:kern w:val="0"/>
                <w:sz w:val="32"/>
                <w:szCs w:val="32"/>
              </w:rPr>
            </w:pPr>
            <w:r>
              <w:rPr>
                <w:rFonts w:hint="eastAsia" w:ascii="黑体" w:hAnsi="黑体" w:eastAsia="黑体" w:cs="宋体"/>
                <w:color w:val="111111"/>
                <w:kern w:val="0"/>
                <w:sz w:val="32"/>
                <w:szCs w:val="32"/>
              </w:rPr>
              <w:t>普法责任和落实形式</w:t>
            </w:r>
          </w:p>
        </w:tc>
        <w:tc>
          <w:tcPr>
            <w:tcW w:w="29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黑体" w:hAnsi="黑体" w:eastAsia="黑体" w:cs="宋体"/>
                <w:color w:val="111111"/>
                <w:kern w:val="0"/>
                <w:sz w:val="32"/>
                <w:szCs w:val="32"/>
              </w:rPr>
            </w:pPr>
            <w:r>
              <w:rPr>
                <w:rFonts w:hint="eastAsia" w:ascii="黑体" w:hAnsi="黑体" w:eastAsia="黑体" w:cs="宋体"/>
                <w:color w:val="111111"/>
                <w:kern w:val="0"/>
                <w:sz w:val="32"/>
                <w:szCs w:val="32"/>
              </w:rPr>
              <w:t>预期目标</w:t>
            </w:r>
          </w:p>
        </w:tc>
        <w:tc>
          <w:tcPr>
            <w:tcW w:w="17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40" w:lineRule="exact"/>
              <w:jc w:val="center"/>
              <w:rPr>
                <w:rFonts w:ascii="黑体" w:hAnsi="黑体" w:eastAsia="黑体" w:cs="宋体"/>
                <w:color w:val="111111"/>
                <w:kern w:val="0"/>
                <w:sz w:val="32"/>
                <w:szCs w:val="32"/>
              </w:rPr>
            </w:pPr>
            <w:r>
              <w:rPr>
                <w:rFonts w:hint="eastAsia" w:ascii="黑体" w:hAnsi="黑体" w:eastAsia="黑体" w:cs="宋体"/>
                <w:color w:val="111111"/>
                <w:kern w:val="0"/>
                <w:sz w:val="32"/>
                <w:szCs w:val="32"/>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5" w:hRule="atLeast"/>
        </w:trPr>
        <w:tc>
          <w:tcPr>
            <w:tcW w:w="749" w:type="dxa"/>
            <w:tcBorders>
              <w:top w:val="single" w:color="auto" w:sz="4" w:space="0"/>
              <w:left w:val="single" w:color="auto" w:sz="4" w:space="0"/>
              <w:bottom w:val="single" w:color="auto" w:sz="4" w:space="0"/>
              <w:right w:val="single" w:color="auto" w:sz="4" w:space="0"/>
            </w:tcBorders>
            <w:vAlign w:val="center"/>
          </w:tcPr>
          <w:p>
            <w:pPr>
              <w:jc w:val="center"/>
              <w:rPr>
                <w:kern w:val="0"/>
                <w:sz w:val="28"/>
                <w:szCs w:val="28"/>
              </w:rPr>
            </w:pPr>
            <w:r>
              <w:rPr>
                <w:kern w:val="0"/>
                <w:sz w:val="28"/>
                <w:szCs w:val="28"/>
              </w:rPr>
              <w:t>1</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集团全体党员、领导干部、中心组成员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1.习近平新时代中国特色社会主义思想特别是习近平总书记关于全面依法治国的重要论述，宣传以习近平同志为核心的党中央关于全面依法治国的重要部署。</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宪法》《监察法》法律法规,以及《中国共产党章程》《中国共产党廉洁自律准则》《关于新形势下党内政治生活的若干准则》《中国共产党纪律处分条例》《中国共产党问责条例》《中国共产党党内监督条例》、《中国共产党党员工作细则》、《党政主要负责人履行推进法治建设第一责任人职责规定》、《中国共产党党委（党组）理论学习中心组学习规则》等党内法规。</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1、将学法内容列入中心组学习计划并组织实施。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2、制定干部年度学法方案并落实实施。</w:t>
            </w:r>
          </w:p>
          <w:p>
            <w:pPr>
              <w:rPr>
                <w:rFonts w:asciiTheme="minorEastAsia" w:hAnsiTheme="minorEastAsia" w:eastAsiaTheme="minorEastAsia"/>
                <w:kern w:val="0"/>
                <w:sz w:val="21"/>
                <w:szCs w:val="21"/>
              </w:rPr>
            </w:pP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在全公司内广泛开展法治宣传教育和党内法规教育，大力普及宪法法律知识、弘扬宪法至上、法律至上精神，提高党员和领导干部尊法学法守法用法意识，教育引导广大党员做党章党规党纪和国家法律的自觉尊崇者、模范遵守者、坚定捍卫者。</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集团公司党委工作部、法律事务部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 w:val="28"/>
                <w:szCs w:val="28"/>
              </w:rPr>
            </w:pPr>
            <w:r>
              <w:rPr>
                <w:kern w:val="0"/>
                <w:sz w:val="28"/>
                <w:szCs w:val="28"/>
              </w:rPr>
              <w:t>2</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集团公司基层单位法务管理人员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 xml:space="preserve">1、公司运营中常用的法律法规，《公司法》及解释、上市公司特殊法律法规、国企并购重组相关法律法规。     </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2、法务人员诉讼、仲裁的技巧和实务，涉及侵权、货损、保险、安全生产、劳资关系等。</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使法务管理人员掌握公司运营中常用的法律法规；掌握诉讼、仲裁的技巧和实务。</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集团公司法律事务部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7"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 w:val="28"/>
                <w:szCs w:val="28"/>
              </w:rPr>
            </w:pPr>
            <w:r>
              <w:rPr>
                <w:rFonts w:hint="eastAsia"/>
                <w:kern w:val="0"/>
                <w:sz w:val="28"/>
                <w:szCs w:val="28"/>
              </w:rPr>
              <w:t>3</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集团公司基层单位分管领导及法务管理人员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1.学习香港自由贸易港的相关政策规定；</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2.香港海商海事、港航物流方面的法律法规及经典案例分析；</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3. 参观香港高等法院、仲裁院等司法机构。</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了解国家对自由贸易港的相关政策规定，熟悉港航物流方面的法律法规。</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集团公司教培中心、法律事务部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0"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 w:val="28"/>
                <w:szCs w:val="28"/>
              </w:rPr>
            </w:pPr>
            <w:r>
              <w:rPr>
                <w:rFonts w:hint="eastAsia"/>
                <w:kern w:val="0"/>
                <w:sz w:val="28"/>
                <w:szCs w:val="28"/>
              </w:rPr>
              <w:t>4</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w:t>
            </w:r>
            <w:r>
              <w:rPr>
                <w:rFonts w:hint="eastAsia" w:cs="宋体" w:asciiTheme="minorEastAsia" w:hAnsiTheme="minorEastAsia" w:eastAsiaTheme="minorEastAsia"/>
                <w:kern w:val="0"/>
                <w:sz w:val="21"/>
                <w:szCs w:val="21"/>
              </w:rPr>
              <w:t>专业技术人员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专利技术的申报事务包括专利类型、资料的整理、提交、文件的撰写等各环节</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熟悉了解自主创新及专利的申报实务。</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集团公司教培中心、工程技术部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 w:val="28"/>
                <w:szCs w:val="28"/>
              </w:rPr>
            </w:pPr>
            <w:r>
              <w:rPr>
                <w:rFonts w:hint="eastAsia"/>
                <w:kern w:val="0"/>
                <w:sz w:val="28"/>
                <w:szCs w:val="28"/>
              </w:rPr>
              <w:t>5</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集团公司商务人员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港口生产保险基本种类及理赔申请的各环节</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了解港口生产经营主要险种及理赔的流程。</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集团公司教培中心、生产业务部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6"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 w:val="28"/>
                <w:szCs w:val="28"/>
              </w:rPr>
            </w:pPr>
            <w:r>
              <w:rPr>
                <w:rFonts w:hint="eastAsia"/>
                <w:kern w:val="0"/>
                <w:sz w:val="28"/>
                <w:szCs w:val="28"/>
              </w:rPr>
              <w:t>6</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集团公司人力资源管理人员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相关劳动法律法规政策、劳动就业、劳动保障和劳动争议处理</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熟悉掌握相关劳动法规，正确处理各种劳动争议</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5" w:hRule="atLeast"/>
        </w:trPr>
        <w:tc>
          <w:tcPr>
            <w:tcW w:w="74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kern w:val="0"/>
                <w:sz w:val="28"/>
                <w:szCs w:val="28"/>
              </w:rPr>
            </w:pPr>
            <w:r>
              <w:rPr>
                <w:rFonts w:hint="eastAsia"/>
                <w:kern w:val="0"/>
                <w:sz w:val="28"/>
                <w:szCs w:val="28"/>
              </w:rPr>
              <w:t>7</w:t>
            </w:r>
          </w:p>
        </w:tc>
        <w:tc>
          <w:tcPr>
            <w:tcW w:w="180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cs="宋体" w:asciiTheme="minorEastAsia" w:hAnsiTheme="minorEastAsia" w:eastAsiaTheme="minorEastAsia"/>
                <w:color w:val="000000"/>
                <w:kern w:val="0"/>
                <w:sz w:val="21"/>
                <w:szCs w:val="21"/>
              </w:rPr>
              <w:t>集团公司中层及中层助理</w:t>
            </w:r>
            <w:r>
              <w:rPr>
                <w:rFonts w:hint="eastAsia" w:asciiTheme="minorEastAsia" w:hAnsiTheme="minorEastAsia" w:eastAsiaTheme="minorEastAsia"/>
                <w:kern w:val="0"/>
                <w:sz w:val="21"/>
                <w:szCs w:val="21"/>
              </w:rPr>
              <w:t>管理人员</w:t>
            </w:r>
          </w:p>
        </w:tc>
        <w:tc>
          <w:tcPr>
            <w:tcW w:w="3436"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对上市公司内部信息和信息披露相关法律法规及制度</w:t>
            </w:r>
          </w:p>
        </w:tc>
        <w:tc>
          <w:tcPr>
            <w:tcW w:w="4108"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熟悉上市公司内部信息披露的法律法规及制度。</w:t>
            </w:r>
          </w:p>
        </w:tc>
        <w:tc>
          <w:tcPr>
            <w:tcW w:w="171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集团公司教培中心、董事会办公室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5"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8</w:t>
            </w:r>
          </w:p>
        </w:tc>
        <w:tc>
          <w:tcPr>
            <w:tcW w:w="1802" w:type="dxa"/>
            <w:vAlign w:val="center"/>
          </w:tcPr>
          <w:p>
            <w:pPr>
              <w:rPr>
                <w:rFonts w:asciiTheme="minorEastAsia" w:hAnsiTheme="minorEastAsia" w:eastAsiaTheme="minorEastAsia"/>
                <w:kern w:val="0"/>
                <w:sz w:val="21"/>
                <w:szCs w:val="21"/>
              </w:rPr>
            </w:pPr>
            <w:r>
              <w:rPr>
                <w:rFonts w:hint="eastAsia" w:cs="宋体" w:asciiTheme="minorEastAsia" w:hAnsiTheme="minorEastAsia" w:eastAsiaTheme="minorEastAsia"/>
                <w:color w:val="000000"/>
                <w:kern w:val="0"/>
                <w:sz w:val="21"/>
                <w:szCs w:val="21"/>
              </w:rPr>
              <w:t>集团公司安全管理人员</w:t>
            </w:r>
          </w:p>
        </w:tc>
        <w:tc>
          <w:tcPr>
            <w:tcW w:w="3436" w:type="dxa"/>
            <w:vAlign w:val="center"/>
          </w:tcPr>
          <w:p>
            <w:pPr>
              <w:rPr>
                <w:rFonts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建设绿色港口以及环境安全、环境保护等相关法律法规</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提高集团</w:t>
            </w:r>
            <w:r>
              <w:rPr>
                <w:rFonts w:hint="eastAsia" w:cs="宋体" w:asciiTheme="minorEastAsia" w:hAnsiTheme="minorEastAsia" w:eastAsiaTheme="minorEastAsia"/>
                <w:color w:val="000000"/>
                <w:kern w:val="0"/>
                <w:sz w:val="21"/>
                <w:szCs w:val="21"/>
              </w:rPr>
              <w:t>安全管理人员环境安全、环境保护意识</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集团公司教培中心、安全环保部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3"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9</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集团公司基层单位中级管理人员</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码头生产运营的常见法律风险</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提高集团中级管理人员的法律风险防控意识。</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集团公司教培中心、生产业务部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8"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10</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集团公司财务管理人员</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各种财务风险特别是担保租赁风险的识别与控制</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1、制定并印发集团公司年度依法治企暨普法的年度工作计划并组织落实实施。</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2、制定年度的法制培训计划并组织实施相应的培训工作。</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提高集团财务管理人员的导报租赁风险的防控意识</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集团公司教培中心、财务会计部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11</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集团公司内部员工、社会大众</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《消费者权益保护法》、《消费者权益保护法实施条例》及相关案例</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通过微信、网页、报纸等公共平台宣传“3.15”消费者权益保护日</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color w:val="353535"/>
                <w:kern w:val="0"/>
                <w:sz w:val="21"/>
                <w:szCs w:val="21"/>
                <w:shd w:val="clear" w:color="auto" w:fill="FFFFFF"/>
              </w:rPr>
              <w:t>提供消费真对自身身体和财产安全的保护意识，维护消费者的正当利益。</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集团公司法律事务部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12</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集团公司内部员工、社会大众</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《国家安全法》、《反恐怖主义法》、《反间谍法》等与维护国家安全密切相关法律法规的宣传普及</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 xml:space="preserve">举办“4.15” 全民国家安全教育日专题活动  </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增强广大群众依法防范和打击危害国家安全行为的意识，提高履行法律责任义务的自觉性</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集团公司法律事务部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0"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13</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集团公司内部员工、社会大众</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1、党的十九大报告中关于知识产权保护的要求</w:t>
            </w:r>
          </w:p>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2、《著作权法》及其实施条例、《信息网络传播权保护条例》、《反不正当竞争法》等知识产权保护法律法规及相关案例</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举办“4.26”世界知识产权日专题活动</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进一步加深了对知识产权及其新的时代内涵的的认识，强化了知识产权保护的法治意识和观念。</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集团公司法律事务部</w:t>
            </w:r>
          </w:p>
        </w:tc>
      </w:tr>
      <w:tr>
        <w:tblPrEx>
          <w:tblLayout w:type="fixed"/>
          <w:tblCellMar>
            <w:top w:w="0" w:type="dxa"/>
            <w:left w:w="108" w:type="dxa"/>
            <w:bottom w:w="0" w:type="dxa"/>
            <w:right w:w="108" w:type="dxa"/>
          </w:tblCellMar>
        </w:tblPrEx>
        <w:trPr>
          <w:trHeight w:val="1031"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14</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集团公司内部员工、社会大众</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刑法、禁毒法、戒毒条例等与禁毒工作相关的法律法规</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举办“6.26”国际禁毒日专题活动</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普及禁毒相关法律知识，提高全社会防毒反毒的意识</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集团公司法律事务部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749" w:type="dxa"/>
            <w:vAlign w:val="center"/>
          </w:tcPr>
          <w:p>
            <w:pPr>
              <w:autoSpaceDE w:val="0"/>
              <w:autoSpaceDN w:val="0"/>
              <w:adjustRightInd w:val="0"/>
              <w:jc w:val="center"/>
              <w:rPr>
                <w:kern w:val="0"/>
                <w:sz w:val="28"/>
                <w:szCs w:val="28"/>
              </w:rPr>
            </w:pPr>
            <w:r>
              <w:rPr>
                <w:rFonts w:hint="eastAsia"/>
                <w:kern w:val="0"/>
                <w:sz w:val="28"/>
                <w:szCs w:val="28"/>
              </w:rPr>
              <w:t>15</w:t>
            </w:r>
          </w:p>
        </w:tc>
        <w:tc>
          <w:tcPr>
            <w:tcW w:w="180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集团公司内部员工、社会大众</w:t>
            </w:r>
          </w:p>
        </w:tc>
        <w:tc>
          <w:tcPr>
            <w:tcW w:w="3436"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重点学习《宪法》及最新修正案</w:t>
            </w:r>
          </w:p>
        </w:tc>
        <w:tc>
          <w:tcPr>
            <w:tcW w:w="4108"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举办“12.4”法制宣传暨国家宪法日活动</w:t>
            </w:r>
          </w:p>
        </w:tc>
        <w:tc>
          <w:tcPr>
            <w:tcW w:w="2992"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牢固树立宪法的权威,提高全民法治意识。</w:t>
            </w:r>
          </w:p>
        </w:tc>
        <w:tc>
          <w:tcPr>
            <w:tcW w:w="1711" w:type="dxa"/>
            <w:vAlign w:val="center"/>
          </w:tcPr>
          <w:p>
            <w:pP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集团公司法律事务部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CE3"/>
    <w:rsid w:val="00051EDB"/>
    <w:rsid w:val="00130FB5"/>
    <w:rsid w:val="00140279"/>
    <w:rsid w:val="00163A56"/>
    <w:rsid w:val="002A4E72"/>
    <w:rsid w:val="002F1023"/>
    <w:rsid w:val="003151CC"/>
    <w:rsid w:val="00336810"/>
    <w:rsid w:val="00462B3D"/>
    <w:rsid w:val="00490F59"/>
    <w:rsid w:val="00507DF9"/>
    <w:rsid w:val="005B6395"/>
    <w:rsid w:val="00672A7B"/>
    <w:rsid w:val="007459CB"/>
    <w:rsid w:val="00790C75"/>
    <w:rsid w:val="00791FF2"/>
    <w:rsid w:val="007E711D"/>
    <w:rsid w:val="00851C5C"/>
    <w:rsid w:val="0086501F"/>
    <w:rsid w:val="008A0BE8"/>
    <w:rsid w:val="008E391A"/>
    <w:rsid w:val="008E4190"/>
    <w:rsid w:val="00902A51"/>
    <w:rsid w:val="00910EBF"/>
    <w:rsid w:val="00914D9F"/>
    <w:rsid w:val="0092498C"/>
    <w:rsid w:val="009508D3"/>
    <w:rsid w:val="009C014E"/>
    <w:rsid w:val="009E5203"/>
    <w:rsid w:val="00A85BA3"/>
    <w:rsid w:val="00AD7B96"/>
    <w:rsid w:val="00B10878"/>
    <w:rsid w:val="00B16F62"/>
    <w:rsid w:val="00BC3BEE"/>
    <w:rsid w:val="00BD7CE3"/>
    <w:rsid w:val="00C14434"/>
    <w:rsid w:val="00C60871"/>
    <w:rsid w:val="00C83F14"/>
    <w:rsid w:val="00C96D63"/>
    <w:rsid w:val="00D40402"/>
    <w:rsid w:val="00E15917"/>
    <w:rsid w:val="30CC3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3"/>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8">
    <w:name w:val="Table Grid"/>
    <w:basedOn w:val="7"/>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rFonts w:ascii="Times New Roman" w:hAnsi="Times New Roman" w:eastAsia="宋体" w:cs="Times New Roman"/>
      <w:sz w:val="18"/>
      <w:szCs w:val="18"/>
    </w:rPr>
  </w:style>
  <w:style w:type="character" w:customStyle="1" w:styleId="11">
    <w:name w:val="页眉 Char"/>
    <w:basedOn w:val="6"/>
    <w:link w:val="4"/>
    <w:semiHidden/>
    <w:uiPriority w:val="99"/>
    <w:rPr>
      <w:rFonts w:ascii="Times New Roman" w:hAnsi="Times New Roman" w:eastAsia="宋体" w:cs="Times New Roman"/>
      <w:sz w:val="18"/>
      <w:szCs w:val="18"/>
    </w:rPr>
  </w:style>
  <w:style w:type="character" w:customStyle="1" w:styleId="12">
    <w:name w:val="页脚 Char"/>
    <w:basedOn w:val="6"/>
    <w:link w:val="3"/>
    <w:semiHidden/>
    <w:uiPriority w:val="99"/>
    <w:rPr>
      <w:rFonts w:ascii="Times New Roman" w:hAnsi="Times New Roman" w:eastAsia="宋体" w:cs="Times New Roman"/>
      <w:sz w:val="18"/>
      <w:szCs w:val="18"/>
    </w:rPr>
  </w:style>
  <w:style w:type="character" w:customStyle="1" w:styleId="13">
    <w:name w:val="HTML 预设格式 Char"/>
    <w:basedOn w:val="6"/>
    <w:link w:val="5"/>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C5D06-B3FC-4D5A-8861-62E5CBA702E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4</Pages>
  <Words>371</Words>
  <Characters>2118</Characters>
  <Lines>17</Lines>
  <Paragraphs>4</Paragraphs>
  <TotalTime>460</TotalTime>
  <ScaleCrop>false</ScaleCrop>
  <LinksUpToDate>false</LinksUpToDate>
  <CharactersWithSpaces>2485</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2018-06-25T08:32:00Z</dcterms:created>
  <dc:creator>万丽</dc:creator>
  <cp:lastModifiedBy>knor</cp:lastModifiedBy>
  <dcterms:modified xsi:type="dcterms:W3CDTF">2018-10-19T00:55:37Z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